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7621F" w:rsidRPr="00A7621F" w:rsidTr="00A7621F">
        <w:tc>
          <w:tcPr>
            <w:tcW w:w="4643" w:type="dxa"/>
            <w:shd w:val="clear" w:color="auto" w:fill="auto"/>
          </w:tcPr>
          <w:p w:rsidR="00A7621F" w:rsidRPr="000B58D6" w:rsidRDefault="00A7621F" w:rsidP="00A7621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  <w:shd w:val="clear" w:color="auto" w:fill="auto"/>
          </w:tcPr>
          <w:p w:rsidR="00A7621F" w:rsidRPr="000B58D6" w:rsidRDefault="00A7621F" w:rsidP="00A7621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0227C" w:rsidRPr="00400D63" w:rsidRDefault="00E0227C" w:rsidP="00E0227C">
      <w:pPr>
        <w:pStyle w:val="a3"/>
        <w:spacing w:after="0"/>
        <w:rPr>
          <w:color w:val="000000"/>
          <w:sz w:val="28"/>
          <w:szCs w:val="28"/>
        </w:rPr>
      </w:pPr>
    </w:p>
    <w:p w:rsidR="00E11CED" w:rsidRDefault="00E11CED" w:rsidP="00E11CED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E11CED" w:rsidRDefault="00E11CED" w:rsidP="00E11CED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медицинскому применению медицинского изделия</w:t>
      </w:r>
    </w:p>
    <w:p w:rsidR="00D5771C" w:rsidRPr="00400D63" w:rsidRDefault="00D5771C" w:rsidP="005E36C8">
      <w:pPr>
        <w:jc w:val="both"/>
        <w:rPr>
          <w:rStyle w:val="s1"/>
          <w:sz w:val="28"/>
          <w:szCs w:val="28"/>
        </w:rPr>
      </w:pPr>
    </w:p>
    <w:p w:rsidR="00FA14CF" w:rsidRPr="00400D63" w:rsidRDefault="00FA14CF" w:rsidP="005E36C8">
      <w:pPr>
        <w:jc w:val="both"/>
        <w:rPr>
          <w:rStyle w:val="s0"/>
          <w:b/>
          <w:sz w:val="28"/>
          <w:szCs w:val="28"/>
        </w:rPr>
      </w:pPr>
      <w:r w:rsidRPr="00400D63">
        <w:rPr>
          <w:rStyle w:val="s0"/>
          <w:b/>
          <w:sz w:val="28"/>
          <w:szCs w:val="28"/>
        </w:rPr>
        <w:t xml:space="preserve">Название медицинского </w:t>
      </w:r>
      <w:r w:rsidR="00A7621F">
        <w:rPr>
          <w:rStyle w:val="s0"/>
          <w:b/>
          <w:sz w:val="28"/>
          <w:szCs w:val="28"/>
        </w:rPr>
        <w:t>изделия</w:t>
      </w:r>
    </w:p>
    <w:p w:rsidR="00400D63" w:rsidRDefault="001B3BFA" w:rsidP="0076369F">
      <w:pPr>
        <w:tabs>
          <w:tab w:val="left" w:pos="1053"/>
        </w:tabs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1B3BFA">
        <w:rPr>
          <w:bCs/>
          <w:sz w:val="28"/>
          <w:szCs w:val="28"/>
          <w:shd w:val="clear" w:color="auto" w:fill="FFFFFF"/>
        </w:rPr>
        <w:t>Кетгут простой полированный стерильный,</w:t>
      </w:r>
      <w:r w:rsidR="00275BDC">
        <w:rPr>
          <w:bCs/>
          <w:sz w:val="28"/>
          <w:szCs w:val="28"/>
          <w:shd w:val="clear" w:color="auto" w:fill="FFFFFF"/>
        </w:rPr>
        <w:t xml:space="preserve"> рассасывающийся</w:t>
      </w:r>
      <w:r w:rsidR="00F566AB">
        <w:rPr>
          <w:bCs/>
          <w:sz w:val="28"/>
          <w:szCs w:val="28"/>
          <w:shd w:val="clear" w:color="auto" w:fill="FFFFFF"/>
        </w:rPr>
        <w:t xml:space="preserve"> хирургический шовный материал,</w:t>
      </w:r>
      <w:r w:rsidRPr="001B3BFA">
        <w:rPr>
          <w:bCs/>
          <w:sz w:val="28"/>
          <w:szCs w:val="28"/>
          <w:shd w:val="clear" w:color="auto" w:fill="FFFFFF"/>
        </w:rPr>
        <w:t xml:space="preserve"> размерами USP (метрический) 5/0 (1.5), 4/0 (2), 3/0 (3), 2/0 (3</w:t>
      </w:r>
      <w:r w:rsidR="00032B23">
        <w:rPr>
          <w:bCs/>
          <w:sz w:val="28"/>
          <w:szCs w:val="28"/>
          <w:shd w:val="clear" w:color="auto" w:fill="FFFFFF"/>
        </w:rPr>
        <w:t>,5</w:t>
      </w:r>
      <w:bookmarkStart w:id="0" w:name="_GoBack"/>
      <w:bookmarkEnd w:id="0"/>
      <w:r w:rsidRPr="001B3BFA">
        <w:rPr>
          <w:bCs/>
          <w:sz w:val="28"/>
          <w:szCs w:val="28"/>
          <w:shd w:val="clear" w:color="auto" w:fill="FFFFFF"/>
        </w:rPr>
        <w:t xml:space="preserve">), 0 (4), 1 (5), 2 (6), 3 (7), длиной нити 45 см, 75 см, 90 см с атравматическими иглами </w:t>
      </w:r>
      <w:r w:rsidR="007C23B8">
        <w:rPr>
          <w:bCs/>
          <w:sz w:val="28"/>
          <w:szCs w:val="28"/>
          <w:shd w:val="clear" w:color="auto" w:fill="FFFFFF"/>
        </w:rPr>
        <w:t xml:space="preserve">разных типов </w:t>
      </w:r>
      <w:r w:rsidRPr="001B3BFA">
        <w:rPr>
          <w:bCs/>
          <w:sz w:val="28"/>
          <w:szCs w:val="28"/>
          <w:shd w:val="clear" w:color="auto" w:fill="FFFFFF"/>
        </w:rPr>
        <w:t>и длиной нити 150 см без игл</w:t>
      </w:r>
      <w:proofErr w:type="gramEnd"/>
    </w:p>
    <w:p w:rsidR="001B3BFA" w:rsidRPr="00400D63" w:rsidRDefault="001B3BFA" w:rsidP="0076369F">
      <w:pPr>
        <w:tabs>
          <w:tab w:val="left" w:pos="1053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047E29" w:rsidRPr="00A26829" w:rsidRDefault="00047E29" w:rsidP="00047E29">
      <w:pPr>
        <w:rPr>
          <w:b/>
          <w:sz w:val="28"/>
          <w:szCs w:val="28"/>
        </w:rPr>
      </w:pPr>
      <w:r w:rsidRPr="00A26829">
        <w:rPr>
          <w:b/>
          <w:color w:val="000000"/>
          <w:sz w:val="28"/>
        </w:rPr>
        <w:t>Состав и описание медицинского изделия</w:t>
      </w:r>
    </w:p>
    <w:p w:rsidR="00047E29" w:rsidRPr="00785A78" w:rsidRDefault="00047E29" w:rsidP="00047E29">
      <w:pPr>
        <w:jc w:val="both"/>
        <w:rPr>
          <w:sz w:val="28"/>
          <w:szCs w:val="28"/>
          <w:lang w:val="kk-KZ"/>
        </w:rPr>
      </w:pPr>
      <w:r w:rsidRPr="00A26829">
        <w:rPr>
          <w:sz w:val="28"/>
          <w:szCs w:val="28"/>
        </w:rPr>
        <w:t>Изделие представляет собой рассасывающийся стерильный хирургический шовный материал, состоящий из натурального коллагена, полученного из подслизистого волокнистого слоя кишечника здоровых коз</w:t>
      </w:r>
      <w:r w:rsidR="00275BDC">
        <w:rPr>
          <w:sz w:val="28"/>
          <w:szCs w:val="28"/>
        </w:rPr>
        <w:t>, без дополнительного покрытия.</w:t>
      </w:r>
      <w:r w:rsidR="00785A78">
        <w:rPr>
          <w:sz w:val="28"/>
          <w:szCs w:val="28"/>
          <w:lang w:val="kk-KZ"/>
        </w:rPr>
        <w:t xml:space="preserve"> Натуральный коллаген без дополнительного покрытия.</w:t>
      </w:r>
    </w:p>
    <w:p w:rsidR="00785A78" w:rsidRDefault="00047E29" w:rsidP="00047E29">
      <w:pPr>
        <w:jc w:val="both"/>
        <w:rPr>
          <w:sz w:val="28"/>
          <w:szCs w:val="28"/>
        </w:rPr>
      </w:pPr>
      <w:r w:rsidRPr="00A26829">
        <w:rPr>
          <w:sz w:val="28"/>
          <w:szCs w:val="28"/>
        </w:rPr>
        <w:t xml:space="preserve">Игла выполнена из сплава медицинской нержавеющей стали. Поставляется с иглой или без нее. </w:t>
      </w:r>
    </w:p>
    <w:p w:rsidR="00047E29" w:rsidRPr="00A26829" w:rsidRDefault="00047E29" w:rsidP="00047E29">
      <w:pPr>
        <w:jc w:val="both"/>
        <w:rPr>
          <w:sz w:val="28"/>
          <w:szCs w:val="28"/>
        </w:rPr>
      </w:pPr>
      <w:r w:rsidRPr="00A26829">
        <w:rPr>
          <w:sz w:val="28"/>
          <w:szCs w:val="28"/>
        </w:rPr>
        <w:t xml:space="preserve">Длина </w:t>
      </w:r>
      <w:r w:rsidR="00275BDC">
        <w:rPr>
          <w:sz w:val="28"/>
          <w:szCs w:val="28"/>
        </w:rPr>
        <w:t xml:space="preserve">нити </w:t>
      </w:r>
      <w:r w:rsidRPr="00A26829">
        <w:rPr>
          <w:sz w:val="28"/>
          <w:szCs w:val="28"/>
        </w:rPr>
        <w:t>(</w:t>
      </w:r>
      <w:proofErr w:type="gramStart"/>
      <w:r w:rsidRPr="00A26829">
        <w:rPr>
          <w:sz w:val="28"/>
          <w:szCs w:val="28"/>
        </w:rPr>
        <w:t>см</w:t>
      </w:r>
      <w:proofErr w:type="gramEnd"/>
      <w:r w:rsidRPr="00A26829">
        <w:rPr>
          <w:sz w:val="28"/>
          <w:szCs w:val="28"/>
        </w:rPr>
        <w:t>) 90, 75, 45</w:t>
      </w:r>
      <w:r w:rsidR="007C23B8">
        <w:rPr>
          <w:sz w:val="28"/>
          <w:szCs w:val="28"/>
        </w:rPr>
        <w:t xml:space="preserve"> и </w:t>
      </w:r>
      <w:r w:rsidR="007C23B8" w:rsidRPr="00A26829">
        <w:rPr>
          <w:sz w:val="28"/>
          <w:szCs w:val="28"/>
        </w:rPr>
        <w:t>150 (без иглы)</w:t>
      </w:r>
      <w:r w:rsidR="007C23B8">
        <w:rPr>
          <w:sz w:val="28"/>
          <w:szCs w:val="28"/>
        </w:rPr>
        <w:t>.</w:t>
      </w:r>
    </w:p>
    <w:p w:rsidR="00047E29" w:rsidRPr="00A26829" w:rsidRDefault="00275BDC" w:rsidP="00047E29">
      <w:pPr>
        <w:jc w:val="both"/>
        <w:rPr>
          <w:sz w:val="28"/>
          <w:szCs w:val="28"/>
        </w:rPr>
      </w:pPr>
      <w:r>
        <w:rPr>
          <w:sz w:val="28"/>
          <w:szCs w:val="28"/>
        </w:rPr>
        <w:t>Длина иглы</w:t>
      </w:r>
      <w:r w:rsidR="00047E29" w:rsidRPr="00A26829">
        <w:rPr>
          <w:sz w:val="28"/>
          <w:szCs w:val="28"/>
        </w:rPr>
        <w:t xml:space="preserve"> (</w:t>
      </w:r>
      <w:proofErr w:type="gramStart"/>
      <w:r w:rsidR="00047E29" w:rsidRPr="00A26829">
        <w:rPr>
          <w:sz w:val="28"/>
          <w:szCs w:val="28"/>
        </w:rPr>
        <w:t>мм</w:t>
      </w:r>
      <w:proofErr w:type="gramEnd"/>
      <w:r w:rsidR="00047E29" w:rsidRPr="00A26829">
        <w:rPr>
          <w:sz w:val="28"/>
          <w:szCs w:val="28"/>
        </w:rPr>
        <w:t xml:space="preserve">): 50, 48, 45, 40, 36, 35, 30, 26, 25, 24, 20, 19, 18, 17, 16, 15, 14, 13. </w:t>
      </w:r>
    </w:p>
    <w:p w:rsidR="007C23B8" w:rsidRDefault="00047E29" w:rsidP="00047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 иглы</w:t>
      </w:r>
      <w:r w:rsidRPr="007C23B8">
        <w:rPr>
          <w:sz w:val="28"/>
          <w:szCs w:val="28"/>
        </w:rPr>
        <w:t>: колющая</w:t>
      </w:r>
      <w:r w:rsidR="007C23B8" w:rsidRPr="007C23B8">
        <w:rPr>
          <w:sz w:val="28"/>
          <w:szCs w:val="28"/>
        </w:rPr>
        <w:t>, колющая</w:t>
      </w:r>
      <w:r w:rsidR="007C23B8">
        <w:rPr>
          <w:sz w:val="28"/>
          <w:szCs w:val="28"/>
        </w:rPr>
        <w:t xml:space="preserve"> (</w:t>
      </w:r>
      <w:proofErr w:type="spellStart"/>
      <w:r w:rsidR="007C23B8">
        <w:rPr>
          <w:sz w:val="28"/>
          <w:szCs w:val="28"/>
        </w:rPr>
        <w:t>двухигольный</w:t>
      </w:r>
      <w:proofErr w:type="spellEnd"/>
      <w:r w:rsidR="007C23B8">
        <w:rPr>
          <w:sz w:val="28"/>
          <w:szCs w:val="28"/>
        </w:rPr>
        <w:t xml:space="preserve"> вариант), колюще-режущая, </w:t>
      </w:r>
      <w:r>
        <w:rPr>
          <w:sz w:val="28"/>
          <w:szCs w:val="28"/>
        </w:rPr>
        <w:t xml:space="preserve"> </w:t>
      </w:r>
      <w:r w:rsidR="007C23B8">
        <w:rPr>
          <w:sz w:val="28"/>
          <w:szCs w:val="28"/>
        </w:rPr>
        <w:t>колюще-режущая</w:t>
      </w:r>
      <w:r w:rsidR="007C23B8" w:rsidRPr="00A26829">
        <w:rPr>
          <w:sz w:val="28"/>
          <w:szCs w:val="28"/>
        </w:rPr>
        <w:t xml:space="preserve"> </w:t>
      </w:r>
      <w:r w:rsidR="007C23B8">
        <w:rPr>
          <w:sz w:val="28"/>
          <w:szCs w:val="28"/>
        </w:rPr>
        <w:t>(</w:t>
      </w:r>
      <w:proofErr w:type="spellStart"/>
      <w:r w:rsidR="007C23B8">
        <w:rPr>
          <w:sz w:val="28"/>
          <w:szCs w:val="28"/>
        </w:rPr>
        <w:t>двухигольный</w:t>
      </w:r>
      <w:proofErr w:type="spellEnd"/>
      <w:r w:rsidR="007C23B8">
        <w:rPr>
          <w:sz w:val="28"/>
          <w:szCs w:val="28"/>
        </w:rPr>
        <w:t xml:space="preserve"> вариант), изогнутая режущая, обратно режущая.</w:t>
      </w:r>
      <w:proofErr w:type="gramEnd"/>
    </w:p>
    <w:p w:rsidR="00047E29" w:rsidRDefault="00047E29" w:rsidP="00047E29">
      <w:pPr>
        <w:jc w:val="both"/>
        <w:rPr>
          <w:sz w:val="28"/>
          <w:szCs w:val="28"/>
        </w:rPr>
      </w:pPr>
      <w:r w:rsidRPr="00A26829">
        <w:rPr>
          <w:sz w:val="28"/>
          <w:szCs w:val="28"/>
        </w:rPr>
        <w:t>Цвет нити желтый. В коробке 24 или 36 шт.</w:t>
      </w:r>
    </w:p>
    <w:p w:rsidR="00275BDC" w:rsidRDefault="00275BDC" w:rsidP="00047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Шовный материал помещен в специальный раствор, который содержит в себе следующие компоненты: 2-пропанол 83.8 %, глицерин 3.0 %, вода 13.0 %, </w:t>
      </w:r>
      <w:proofErr w:type="spellStart"/>
      <w:r>
        <w:rPr>
          <w:sz w:val="28"/>
          <w:szCs w:val="28"/>
        </w:rPr>
        <w:t>диэтаноламин</w:t>
      </w:r>
      <w:proofErr w:type="spellEnd"/>
      <w:r>
        <w:rPr>
          <w:sz w:val="28"/>
          <w:szCs w:val="28"/>
        </w:rPr>
        <w:t xml:space="preserve"> 0.2 %</w:t>
      </w:r>
    </w:p>
    <w:p w:rsidR="007C23B8" w:rsidRDefault="007C23B8" w:rsidP="005E36C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2443" w:rsidRPr="00400D63" w:rsidRDefault="009D0734" w:rsidP="005E36C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0D63">
        <w:rPr>
          <w:rFonts w:ascii="Times New Roman" w:hAnsi="Times New Roman"/>
          <w:b/>
          <w:color w:val="000000"/>
          <w:sz w:val="28"/>
          <w:szCs w:val="28"/>
        </w:rPr>
        <w:t>Область применения</w:t>
      </w:r>
    </w:p>
    <w:p w:rsidR="00483BB7" w:rsidRPr="00400D63" w:rsidRDefault="00400D63" w:rsidP="005E36C8">
      <w:pPr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400D63">
        <w:rPr>
          <w:rFonts w:eastAsia="Calibri"/>
          <w:color w:val="000000"/>
          <w:sz w:val="28"/>
          <w:szCs w:val="28"/>
          <w:lang w:eastAsia="en-US"/>
        </w:rPr>
        <w:t>Хирургия, гинекология, ортопедия и пластическая хирургия</w:t>
      </w:r>
    </w:p>
    <w:p w:rsidR="00400D63" w:rsidRPr="00400D63" w:rsidRDefault="00400D63" w:rsidP="005E36C8">
      <w:pPr>
        <w:jc w:val="both"/>
        <w:rPr>
          <w:b/>
          <w:color w:val="000000"/>
          <w:sz w:val="28"/>
          <w:szCs w:val="28"/>
          <w:lang w:val="kk-KZ"/>
        </w:rPr>
      </w:pPr>
    </w:p>
    <w:p w:rsidR="00047E29" w:rsidRDefault="00047E29" w:rsidP="00047E29">
      <w:pPr>
        <w:pStyle w:val="af2"/>
        <w:spacing w:after="0" w:line="240" w:lineRule="auto"/>
        <w:rPr>
          <w:b/>
          <w:color w:val="000000"/>
          <w:sz w:val="28"/>
          <w:lang w:val="ru-RU"/>
        </w:rPr>
      </w:pPr>
      <w:r w:rsidRPr="00A26829">
        <w:rPr>
          <w:b/>
          <w:color w:val="000000"/>
          <w:sz w:val="28"/>
          <w:lang w:val="ru-RU"/>
        </w:rPr>
        <w:t>Назначение медицинского изделия</w:t>
      </w:r>
    </w:p>
    <w:p w:rsidR="00047E29" w:rsidRDefault="00047E29" w:rsidP="00047E29">
      <w:pPr>
        <w:pStyle w:val="af2"/>
        <w:spacing w:after="0" w:line="240" w:lineRule="auto"/>
        <w:rPr>
          <w:sz w:val="28"/>
          <w:szCs w:val="24"/>
          <w:lang w:val="ru-RU"/>
        </w:rPr>
      </w:pPr>
      <w:r w:rsidRPr="00A26829">
        <w:rPr>
          <w:sz w:val="28"/>
          <w:szCs w:val="24"/>
          <w:lang w:val="ru-RU"/>
        </w:rPr>
        <w:t xml:space="preserve">Предназначено для использования при общем сближении мягких тканей, для наложения швов или </w:t>
      </w:r>
      <w:proofErr w:type="spellStart"/>
      <w:r w:rsidRPr="00A26829">
        <w:rPr>
          <w:sz w:val="28"/>
          <w:szCs w:val="24"/>
          <w:lang w:val="ru-RU"/>
        </w:rPr>
        <w:t>лигировании</w:t>
      </w:r>
      <w:proofErr w:type="spellEnd"/>
      <w:r>
        <w:rPr>
          <w:sz w:val="28"/>
          <w:szCs w:val="24"/>
          <w:lang w:val="ru-RU"/>
        </w:rPr>
        <w:t>.</w:t>
      </w:r>
    </w:p>
    <w:p w:rsidR="00047E29" w:rsidRDefault="00047E29" w:rsidP="005E36C8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E29" w:rsidRDefault="00047E29" w:rsidP="00047E29">
      <w:pPr>
        <w:pStyle w:val="af2"/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A26829">
        <w:rPr>
          <w:b/>
          <w:color w:val="000000"/>
          <w:sz w:val="28"/>
          <w:lang w:val="ru-RU"/>
        </w:rPr>
        <w:t>Информация по мерам предосторожности (безопасности) и ограничениям при использовании медицинского изделия:</w:t>
      </w:r>
    </w:p>
    <w:p w:rsidR="00047E29" w:rsidRPr="00A268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в</w:t>
      </w:r>
      <w:r w:rsidRPr="00A26829">
        <w:rPr>
          <w:color w:val="000000"/>
          <w:sz w:val="28"/>
          <w:lang w:val="ru-RU"/>
        </w:rPr>
        <w:t>ыбирайте подходящие нитки и шовный материал для соответствующей хирургической процедуры, чтобы обеспечить необходимый эффект</w:t>
      </w:r>
      <w:r>
        <w:rPr>
          <w:color w:val="000000"/>
          <w:sz w:val="28"/>
          <w:lang w:val="ru-RU"/>
        </w:rPr>
        <w:t>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п</w:t>
      </w:r>
      <w:r w:rsidRPr="00A26829">
        <w:rPr>
          <w:color w:val="000000"/>
          <w:sz w:val="28"/>
          <w:lang w:val="ru-RU"/>
        </w:rPr>
        <w:t>роцесс наложения швов должен полностью отвечать требованиям надлежащей клинической практики и стерильности</w:t>
      </w:r>
      <w:r>
        <w:rPr>
          <w:color w:val="000000"/>
          <w:sz w:val="28"/>
          <w:lang w:val="ru-RU"/>
        </w:rPr>
        <w:t>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надежно затягивайте узел, желательно оставляя при этом концы не менее 0.5 см;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- необходимо осторожно обращаться с иглами. Пользователь должен держать иглу в соответствующем месте, чтобы избежать повреждения иглы и шва;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не повреждайте шовный материал во время операции, т.е., не пережимайте и не скручивайте шовный материал;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иглу необходимо утилизировать соответствующим образом, чтобы избежать любой опасности травмы от инъекций;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не храните в газовой среде, которая может вызывать коррозию. Храните при влажности не более 80%;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повторное использование шовного материала может вызывать повышение температуры, возникновение инфекции, образование сгустков крови и другие нежелательные эффекты, поэтому его повторное использование запрещено;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запрещено повторно использовать оставшийся после операции шовный материал.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</w:p>
    <w:p w:rsidR="00047E29" w:rsidRDefault="00047E29" w:rsidP="00047E29">
      <w:pPr>
        <w:pStyle w:val="af2"/>
        <w:tabs>
          <w:tab w:val="clear" w:pos="4680"/>
          <w:tab w:val="center" w:pos="709"/>
        </w:tabs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8A5227">
        <w:rPr>
          <w:b/>
          <w:color w:val="000000"/>
          <w:sz w:val="28"/>
          <w:lang w:val="ru-RU"/>
        </w:rPr>
        <w:t>Противопоказания для применения</w:t>
      </w:r>
    </w:p>
    <w:p w:rsidR="00047E29" w:rsidRDefault="00047E29" w:rsidP="00047E29">
      <w:pPr>
        <w:pStyle w:val="af2"/>
        <w:numPr>
          <w:ilvl w:val="0"/>
          <w:numId w:val="10"/>
        </w:numPr>
        <w:tabs>
          <w:tab w:val="clear" w:pos="4680"/>
          <w:tab w:val="center" w:pos="709"/>
        </w:tabs>
        <w:spacing w:after="0" w:line="240" w:lineRule="auto"/>
        <w:jc w:val="both"/>
        <w:rPr>
          <w:color w:val="000000"/>
          <w:sz w:val="28"/>
          <w:lang w:val="ru-RU"/>
        </w:rPr>
      </w:pPr>
      <w:r w:rsidRPr="008A5227">
        <w:rPr>
          <w:color w:val="000000"/>
          <w:sz w:val="28"/>
          <w:lang w:val="ru-RU"/>
        </w:rPr>
        <w:t>Для пациентов с воспалением используйте с осторожностью</w:t>
      </w:r>
      <w:r>
        <w:rPr>
          <w:color w:val="000000"/>
          <w:sz w:val="28"/>
          <w:lang w:val="ru-RU"/>
        </w:rPr>
        <w:t>.</w:t>
      </w:r>
    </w:p>
    <w:p w:rsidR="00047E29" w:rsidRPr="003A7FDE" w:rsidRDefault="00047E29" w:rsidP="00047E29">
      <w:pPr>
        <w:pStyle w:val="af2"/>
        <w:numPr>
          <w:ilvl w:val="0"/>
          <w:numId w:val="10"/>
        </w:numPr>
        <w:tabs>
          <w:tab w:val="clear" w:pos="4680"/>
          <w:tab w:val="center" w:pos="709"/>
        </w:tabs>
        <w:spacing w:after="0" w:line="240" w:lineRule="auto"/>
        <w:jc w:val="both"/>
        <w:rPr>
          <w:color w:val="000000"/>
          <w:sz w:val="28"/>
          <w:lang w:val="ru-RU"/>
        </w:rPr>
      </w:pPr>
      <w:r w:rsidRPr="003A7FDE">
        <w:rPr>
          <w:color w:val="000000"/>
          <w:sz w:val="28"/>
          <w:lang w:val="ru-RU"/>
        </w:rPr>
        <w:t>Продукт изготовлен из животного коллагена и противо</w:t>
      </w:r>
      <w:r>
        <w:rPr>
          <w:color w:val="000000"/>
          <w:sz w:val="28"/>
          <w:lang w:val="ru-RU"/>
        </w:rPr>
        <w:t>показан пациентам с известной чувствительностью к коллагену или аллергией на него.</w:t>
      </w:r>
    </w:p>
    <w:p w:rsidR="00047E29" w:rsidRPr="0007406B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</w:p>
    <w:p w:rsidR="00047E29" w:rsidRDefault="00047E29" w:rsidP="00047E29">
      <w:pPr>
        <w:pStyle w:val="af2"/>
        <w:spacing w:after="0" w:line="240" w:lineRule="auto"/>
        <w:rPr>
          <w:b/>
          <w:color w:val="000000"/>
          <w:sz w:val="28"/>
          <w:lang w:val="ru-RU"/>
        </w:rPr>
      </w:pPr>
      <w:r w:rsidRPr="008A5227">
        <w:rPr>
          <w:b/>
          <w:color w:val="000000"/>
          <w:sz w:val="28"/>
          <w:lang w:val="ru-RU"/>
        </w:rPr>
        <w:t>Срок и условия хранения медицинского изделия</w:t>
      </w:r>
    </w:p>
    <w:p w:rsidR="00047E29" w:rsidRPr="00DC43ED" w:rsidRDefault="00047E29" w:rsidP="00047E29">
      <w:pPr>
        <w:pStyle w:val="af2"/>
        <w:spacing w:after="0" w:line="240" w:lineRule="auto"/>
        <w:rPr>
          <w:sz w:val="28"/>
          <w:szCs w:val="24"/>
          <w:lang w:val="ru-RU"/>
        </w:rPr>
      </w:pPr>
      <w:r w:rsidRPr="00DC43ED">
        <w:rPr>
          <w:sz w:val="28"/>
          <w:szCs w:val="24"/>
          <w:lang w:val="ru-RU"/>
        </w:rPr>
        <w:t>Изделие остается стерильным в течени</w:t>
      </w:r>
      <w:proofErr w:type="gramStart"/>
      <w:r w:rsidRPr="00DC43ED">
        <w:rPr>
          <w:sz w:val="28"/>
          <w:szCs w:val="24"/>
          <w:lang w:val="ru-RU"/>
        </w:rPr>
        <w:t>и</w:t>
      </w:r>
      <w:proofErr w:type="gramEnd"/>
      <w:r w:rsidRPr="00DC43ED">
        <w:rPr>
          <w:sz w:val="28"/>
          <w:szCs w:val="24"/>
          <w:lang w:val="ru-RU"/>
        </w:rPr>
        <w:t xml:space="preserve"> 5 лет</w:t>
      </w:r>
      <w:r w:rsidR="000B003D">
        <w:rPr>
          <w:sz w:val="28"/>
          <w:szCs w:val="24"/>
          <w:lang w:val="ru-RU"/>
        </w:rPr>
        <w:t xml:space="preserve"> при соблюдении условий хранения</w:t>
      </w:r>
      <w:r w:rsidRPr="00DC43ED">
        <w:rPr>
          <w:sz w:val="28"/>
          <w:szCs w:val="24"/>
          <w:lang w:val="ru-RU"/>
        </w:rPr>
        <w:t xml:space="preserve">. </w:t>
      </w:r>
    </w:p>
    <w:p w:rsidR="00047E29" w:rsidRDefault="00047E29" w:rsidP="00047E29">
      <w:pPr>
        <w:pStyle w:val="af2"/>
        <w:spacing w:after="0" w:line="240" w:lineRule="auto"/>
        <w:rPr>
          <w:sz w:val="28"/>
          <w:szCs w:val="24"/>
          <w:lang w:val="ru-RU"/>
        </w:rPr>
      </w:pPr>
      <w:r w:rsidRPr="00DC43ED">
        <w:rPr>
          <w:sz w:val="28"/>
          <w:szCs w:val="24"/>
          <w:lang w:val="ru-RU"/>
        </w:rPr>
        <w:t>Хран</w:t>
      </w:r>
      <w:r w:rsidR="001A5056">
        <w:rPr>
          <w:sz w:val="28"/>
          <w:szCs w:val="24"/>
          <w:lang w:val="ru-RU"/>
        </w:rPr>
        <w:t xml:space="preserve">ить, перевозить и использовать </w:t>
      </w:r>
      <w:r w:rsidRPr="00DC43ED">
        <w:rPr>
          <w:sz w:val="28"/>
          <w:szCs w:val="24"/>
          <w:lang w:val="ru-RU"/>
        </w:rPr>
        <w:t>при температуре от 1 до 34 ℃, при относительной влажности до 80</w:t>
      </w:r>
      <w:r w:rsidR="000B003D">
        <w:rPr>
          <w:sz w:val="28"/>
          <w:szCs w:val="24"/>
          <w:lang w:val="ru-RU"/>
        </w:rPr>
        <w:t xml:space="preserve"> </w:t>
      </w:r>
      <w:r w:rsidRPr="00DC43ED">
        <w:rPr>
          <w:sz w:val="28"/>
          <w:szCs w:val="24"/>
          <w:lang w:val="ru-RU"/>
        </w:rPr>
        <w:t>% в зонах без коррозионных газов</w:t>
      </w:r>
      <w:r>
        <w:rPr>
          <w:sz w:val="28"/>
          <w:szCs w:val="24"/>
          <w:lang w:val="ru-RU"/>
        </w:rPr>
        <w:t>.</w:t>
      </w:r>
    </w:p>
    <w:p w:rsidR="001B3BFA" w:rsidRPr="00697F97" w:rsidRDefault="001B3BFA" w:rsidP="00400D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7E29" w:rsidRDefault="00047E29" w:rsidP="00047E29">
      <w:pPr>
        <w:pStyle w:val="af2"/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84190E">
        <w:rPr>
          <w:b/>
          <w:color w:val="000000"/>
          <w:sz w:val="28"/>
          <w:lang w:val="ru-RU"/>
        </w:rPr>
        <w:t>Дополнительная информация, необходимая при использовании (обслуживании) медицинского изделия:</w:t>
      </w:r>
    </w:p>
    <w:p w:rsidR="00047E29" w:rsidRDefault="00047E29" w:rsidP="00047E29">
      <w:pPr>
        <w:pStyle w:val="af2"/>
        <w:spacing w:after="0" w:line="240" w:lineRule="auto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- </w:t>
      </w:r>
      <w:r w:rsidRPr="00047E29">
        <w:rPr>
          <w:bCs/>
          <w:color w:val="000000"/>
          <w:sz w:val="28"/>
          <w:lang w:val="ru-RU"/>
        </w:rPr>
        <w:t>про</w:t>
      </w:r>
      <w:r w:rsidRPr="003A7FDE">
        <w:rPr>
          <w:color w:val="000000"/>
          <w:sz w:val="28"/>
          <w:lang w:val="ru-RU"/>
        </w:rPr>
        <w:t xml:space="preserve">дукт рассасывается путем ферментативного гидролиза. Ферменты не оказывают нежелательного воздействия на организм человека. Время рассасывания зависит от типа и диметра шовного материала, а также от свойств зашиваемых мягких тканей человека. Продукт соответствует требованиям </w:t>
      </w:r>
      <w:proofErr w:type="spellStart"/>
      <w:r w:rsidRPr="003A7FDE">
        <w:rPr>
          <w:color w:val="000000"/>
          <w:sz w:val="28"/>
          <w:lang w:val="ru-RU"/>
        </w:rPr>
        <w:t>биосовместимости</w:t>
      </w:r>
      <w:proofErr w:type="spellEnd"/>
      <w:r w:rsidR="00275BDC">
        <w:rPr>
          <w:color w:val="000000"/>
          <w:sz w:val="28"/>
          <w:lang w:val="ru-RU"/>
        </w:rPr>
        <w:t>;</w:t>
      </w:r>
    </w:p>
    <w:p w:rsidR="00275BDC" w:rsidRPr="00A83AD0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- </w:t>
      </w:r>
      <w:r w:rsidRPr="00047E29">
        <w:rPr>
          <w:bCs/>
          <w:color w:val="000000"/>
          <w:sz w:val="28"/>
          <w:lang w:val="ru-RU"/>
        </w:rPr>
        <w:t>п</w:t>
      </w:r>
      <w:r>
        <w:rPr>
          <w:color w:val="000000"/>
          <w:sz w:val="28"/>
          <w:lang w:val="ru-RU"/>
        </w:rPr>
        <w:t>осле имплантации в ткани шовный материал сначала разрушается, а затем рассасывается в организме человека. Скорость рассасывания незначительно зависит от типа ткани. Процесс рассасывания в организме человека начинается через 4-5 дней. Большая часть шовного материала рассасывается в течение 14 дней. Полное рассасывание завершается в течение 80-100 дней</w:t>
      </w:r>
      <w:r w:rsidR="00A83AD0">
        <w:rPr>
          <w:color w:val="000000"/>
          <w:sz w:val="28"/>
          <w:lang w:val="ru-RU"/>
        </w:rPr>
        <w:t>.</w:t>
      </w:r>
    </w:p>
    <w:p w:rsidR="00A83AD0" w:rsidRDefault="00A83AD0" w:rsidP="00047E29">
      <w:pPr>
        <w:pStyle w:val="af2"/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047E29" w:rsidRPr="003A7FDE" w:rsidRDefault="00047E29" w:rsidP="00047E29">
      <w:pPr>
        <w:pStyle w:val="af2"/>
        <w:spacing w:after="0" w:line="240" w:lineRule="auto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Инструкция по утилизации</w:t>
      </w:r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Утилизировать иглу в контейнер для острых отходов. Обеспечить соответствующую утилизацию в качестве медицинских отходов в соответствии с национальным законодательством.</w:t>
      </w:r>
    </w:p>
    <w:p w:rsidR="00A83AD0" w:rsidRDefault="00A83AD0" w:rsidP="00A83AD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1235B" w:rsidRDefault="0091235B" w:rsidP="00A83AD0">
      <w:pPr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С</w:t>
      </w:r>
      <w:r w:rsidRPr="009E1D99">
        <w:rPr>
          <w:b/>
          <w:color w:val="000000"/>
          <w:sz w:val="28"/>
          <w:szCs w:val="28"/>
        </w:rPr>
        <w:t xml:space="preserve">ведения о производителе медицинского изделия </w:t>
      </w:r>
    </w:p>
    <w:p w:rsidR="004F3BC7" w:rsidRPr="004F3BC7" w:rsidRDefault="00A83AD0" w:rsidP="004F3BC7">
      <w:pPr>
        <w:jc w:val="both"/>
        <w:rPr>
          <w:sz w:val="28"/>
          <w:szCs w:val="28"/>
          <w:lang w:val="kk-KZ"/>
        </w:rPr>
      </w:pPr>
      <w:r w:rsidRPr="00055416">
        <w:rPr>
          <w:sz w:val="28"/>
          <w:szCs w:val="28"/>
          <w:lang w:val="kk-KZ"/>
        </w:rPr>
        <w:t xml:space="preserve">Sanavita </w:t>
      </w:r>
      <w:r w:rsidRPr="004F3BC7">
        <w:rPr>
          <w:sz w:val="28"/>
          <w:szCs w:val="28"/>
          <w:lang w:val="kk-KZ"/>
        </w:rPr>
        <w:t>Pharmaceuticals GmbH, Шпалдингштрассе 110 В, 20097, г. Гамбург, Германия</w:t>
      </w:r>
      <w:r w:rsidR="004F3BC7" w:rsidRPr="004F3BC7">
        <w:rPr>
          <w:sz w:val="28"/>
          <w:szCs w:val="28"/>
          <w:lang w:val="kk-KZ"/>
        </w:rPr>
        <w:t>, тел: +49 (2389) 7972-0,  Fax:+49 (2389) 7972-89,</w:t>
      </w:r>
    </w:p>
    <w:p w:rsidR="00A83AD0" w:rsidRPr="004F3BC7" w:rsidRDefault="004F3BC7" w:rsidP="004F3BC7">
      <w:pPr>
        <w:jc w:val="both"/>
        <w:rPr>
          <w:sz w:val="28"/>
          <w:szCs w:val="28"/>
          <w:lang w:val="kk-KZ"/>
        </w:rPr>
      </w:pPr>
      <w:r w:rsidRPr="004F3BC7">
        <w:rPr>
          <w:sz w:val="28"/>
          <w:szCs w:val="28"/>
        </w:rPr>
        <w:t>e-</w:t>
      </w:r>
      <w:proofErr w:type="spellStart"/>
      <w:r w:rsidRPr="004F3BC7">
        <w:rPr>
          <w:sz w:val="28"/>
          <w:szCs w:val="28"/>
        </w:rPr>
        <w:t>mail</w:t>
      </w:r>
      <w:proofErr w:type="spellEnd"/>
      <w:r w:rsidRPr="004F3BC7">
        <w:rPr>
          <w:sz w:val="28"/>
          <w:szCs w:val="28"/>
          <w:lang w:val="kk-KZ"/>
        </w:rPr>
        <w:t xml:space="preserve">: info@sanavita.net  </w:t>
      </w:r>
    </w:p>
    <w:p w:rsidR="00A83AD0" w:rsidRPr="00400D63" w:rsidRDefault="00A83AD0" w:rsidP="00A83AD0">
      <w:pPr>
        <w:tabs>
          <w:tab w:val="left" w:pos="8505"/>
        </w:tabs>
        <w:ind w:right="-1"/>
        <w:jc w:val="both"/>
        <w:rPr>
          <w:rFonts w:eastAsia="Calibri"/>
          <w:sz w:val="28"/>
          <w:szCs w:val="28"/>
          <w:lang w:val="kk-KZ"/>
        </w:rPr>
      </w:pPr>
    </w:p>
    <w:p w:rsidR="00A83AD0" w:rsidRPr="00272C95" w:rsidRDefault="00A83AD0" w:rsidP="00A83AD0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Место производства</w:t>
      </w:r>
    </w:p>
    <w:p w:rsidR="00A83AD0" w:rsidRPr="004F3BC7" w:rsidRDefault="00A83AD0" w:rsidP="004F3BC7">
      <w:pPr>
        <w:rPr>
          <w:lang w:val="en-US"/>
        </w:rPr>
      </w:pPr>
      <w:proofErr w:type="spellStart"/>
      <w:r w:rsidRPr="008F7568">
        <w:rPr>
          <w:sz w:val="28"/>
          <w:szCs w:val="28"/>
          <w:lang w:val="en-US"/>
        </w:rPr>
        <w:t>Huaiyin</w:t>
      </w:r>
      <w:proofErr w:type="spellEnd"/>
      <w:r w:rsidRPr="008F7568">
        <w:rPr>
          <w:sz w:val="28"/>
          <w:szCs w:val="28"/>
          <w:lang w:val="en-US"/>
        </w:rPr>
        <w:t xml:space="preserve"> Medical Instruments C</w:t>
      </w:r>
      <w:r w:rsidRPr="00DC10A4">
        <w:rPr>
          <w:sz w:val="28"/>
          <w:szCs w:val="28"/>
        </w:rPr>
        <w:t>о</w:t>
      </w:r>
      <w:r w:rsidRPr="008F7568">
        <w:rPr>
          <w:sz w:val="28"/>
          <w:szCs w:val="28"/>
          <w:lang w:val="en-US"/>
        </w:rPr>
        <w:t xml:space="preserve">., Ltd., №8 </w:t>
      </w:r>
      <w:proofErr w:type="spellStart"/>
      <w:r w:rsidRPr="008F7568">
        <w:rPr>
          <w:sz w:val="28"/>
          <w:szCs w:val="28"/>
          <w:lang w:val="en-US"/>
        </w:rPr>
        <w:t>WestMing</w:t>
      </w:r>
      <w:proofErr w:type="spellEnd"/>
      <w:r w:rsidRPr="008F7568">
        <w:rPr>
          <w:sz w:val="28"/>
          <w:szCs w:val="28"/>
          <w:lang w:val="en-US"/>
        </w:rPr>
        <w:t xml:space="preserve"> Yuan Road, </w:t>
      </w:r>
      <w:proofErr w:type="spellStart"/>
      <w:r w:rsidRPr="008F7568">
        <w:rPr>
          <w:sz w:val="28"/>
          <w:szCs w:val="28"/>
          <w:lang w:val="en-US"/>
        </w:rPr>
        <w:t>Hu</w:t>
      </w:r>
      <w:r w:rsidRPr="004F3BC7">
        <w:rPr>
          <w:sz w:val="28"/>
          <w:szCs w:val="28"/>
          <w:lang w:val="en-US"/>
        </w:rPr>
        <w:t>aian</w:t>
      </w:r>
      <w:proofErr w:type="spellEnd"/>
      <w:r w:rsidRPr="004F3BC7">
        <w:rPr>
          <w:sz w:val="28"/>
          <w:szCs w:val="28"/>
          <w:lang w:val="en-US"/>
        </w:rPr>
        <w:t xml:space="preserve">, Jiangsu Province, </w:t>
      </w:r>
      <w:r w:rsidRPr="004F3BC7">
        <w:rPr>
          <w:sz w:val="28"/>
          <w:szCs w:val="28"/>
        </w:rPr>
        <w:t>Китай</w:t>
      </w:r>
      <w:proofErr w:type="gramStart"/>
      <w:r w:rsidR="004F3BC7" w:rsidRPr="004F3BC7">
        <w:rPr>
          <w:sz w:val="28"/>
          <w:szCs w:val="28"/>
          <w:lang w:val="en-US"/>
        </w:rPr>
        <w:t>,</w:t>
      </w:r>
      <w:r w:rsidR="004F3BC7" w:rsidRPr="004F3BC7">
        <w:rPr>
          <w:sz w:val="28"/>
          <w:szCs w:val="28"/>
        </w:rPr>
        <w:t>тел</w:t>
      </w:r>
      <w:proofErr w:type="gramEnd"/>
      <w:r w:rsidR="004F3BC7" w:rsidRPr="004F3BC7">
        <w:rPr>
          <w:sz w:val="28"/>
          <w:szCs w:val="28"/>
          <w:lang w:val="en-US"/>
        </w:rPr>
        <w:t>: 86-0517-83988558,  Fax: 86-0517-83806511</w:t>
      </w:r>
    </w:p>
    <w:p w:rsidR="00136F29" w:rsidRPr="00032B23" w:rsidRDefault="00136F29" w:rsidP="00A83AD0">
      <w:pPr>
        <w:pStyle w:val="Style4"/>
        <w:widowControl/>
        <w:tabs>
          <w:tab w:val="left" w:pos="2835"/>
        </w:tabs>
        <w:spacing w:line="240" w:lineRule="auto"/>
        <w:ind w:right="-5"/>
        <w:jc w:val="both"/>
        <w:rPr>
          <w:b/>
          <w:sz w:val="28"/>
          <w:szCs w:val="28"/>
          <w:lang w:val="en-US" w:eastAsia="ko-KR"/>
        </w:rPr>
      </w:pPr>
    </w:p>
    <w:p w:rsidR="00A83AD0" w:rsidRPr="00861056" w:rsidRDefault="00A83AD0" w:rsidP="00A83AD0">
      <w:pPr>
        <w:pStyle w:val="Style4"/>
        <w:widowControl/>
        <w:tabs>
          <w:tab w:val="left" w:pos="2835"/>
        </w:tabs>
        <w:spacing w:line="240" w:lineRule="auto"/>
        <w:ind w:right="-5"/>
        <w:jc w:val="both"/>
        <w:rPr>
          <w:b/>
          <w:sz w:val="28"/>
          <w:szCs w:val="28"/>
          <w:lang w:eastAsia="ko-KR"/>
        </w:rPr>
      </w:pPr>
      <w:r w:rsidRPr="00861056">
        <w:rPr>
          <w:b/>
          <w:sz w:val="28"/>
          <w:szCs w:val="28"/>
          <w:lang w:eastAsia="ko-KR"/>
        </w:rPr>
        <w:t>Наименование и а</w:t>
      </w:r>
      <w:r w:rsidRPr="00861056">
        <w:rPr>
          <w:rStyle w:val="FontStyle26"/>
          <w:b/>
          <w:sz w:val="28"/>
          <w:szCs w:val="28"/>
        </w:rPr>
        <w:t>дрес организации, принимающей на территории Республики Казахстан претензии потребителей по качеству продукции (товара)</w:t>
      </w:r>
      <w:r w:rsidRPr="00861056">
        <w:rPr>
          <w:b/>
          <w:color w:val="000000"/>
          <w:sz w:val="28"/>
          <w:szCs w:val="28"/>
        </w:rPr>
        <w:t xml:space="preserve"> и ответственной за пострегистрационное наблюдение за </w:t>
      </w:r>
      <w:r w:rsidRPr="00861056">
        <w:rPr>
          <w:rStyle w:val="FontStyle14"/>
          <w:sz w:val="28"/>
          <w:szCs w:val="28"/>
        </w:rPr>
        <w:t xml:space="preserve"> </w:t>
      </w:r>
      <w:r w:rsidRPr="00861056">
        <w:rPr>
          <w:rStyle w:val="FontStyle14"/>
          <w:b/>
          <w:sz w:val="28"/>
          <w:szCs w:val="28"/>
        </w:rPr>
        <w:t>безопасностью медицинского изделия</w:t>
      </w:r>
    </w:p>
    <w:p w:rsidR="00A83AD0" w:rsidRPr="00861056" w:rsidRDefault="00A83AD0" w:rsidP="00A83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61056">
        <w:rPr>
          <w:rFonts w:ascii="Times New Roman" w:hAnsi="Times New Roman"/>
          <w:color w:val="000000"/>
          <w:sz w:val="28"/>
          <w:szCs w:val="28"/>
        </w:rPr>
        <w:t>Представительство компании «</w:t>
      </w:r>
      <w:proofErr w:type="spellStart"/>
      <w:r w:rsidRPr="00861056">
        <w:rPr>
          <w:rFonts w:ascii="Times New Roman" w:hAnsi="Times New Roman"/>
          <w:color w:val="000000"/>
          <w:sz w:val="28"/>
          <w:szCs w:val="28"/>
        </w:rPr>
        <w:t>Санавита</w:t>
      </w:r>
      <w:proofErr w:type="spellEnd"/>
      <w:r w:rsidRPr="00861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1056">
        <w:rPr>
          <w:rFonts w:ascii="Times New Roman" w:hAnsi="Times New Roman"/>
          <w:color w:val="000000"/>
          <w:sz w:val="28"/>
          <w:szCs w:val="28"/>
        </w:rPr>
        <w:t>Фармасьютикалз</w:t>
      </w:r>
      <w:proofErr w:type="spellEnd"/>
      <w:r w:rsidRPr="008610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1056">
        <w:rPr>
          <w:rFonts w:ascii="Times New Roman" w:hAnsi="Times New Roman"/>
          <w:color w:val="000000"/>
          <w:sz w:val="28"/>
          <w:szCs w:val="28"/>
        </w:rPr>
        <w:t>Гмбх</w:t>
      </w:r>
      <w:proofErr w:type="spellEnd"/>
      <w:r w:rsidRPr="00861056">
        <w:rPr>
          <w:rFonts w:ascii="Times New Roman" w:hAnsi="Times New Roman"/>
          <w:color w:val="000000"/>
          <w:sz w:val="28"/>
          <w:szCs w:val="28"/>
        </w:rPr>
        <w:t xml:space="preserve">» в Республике Казахстан, 050008, Республика Казахстан, г. Алматы, улица </w:t>
      </w:r>
      <w:proofErr w:type="spellStart"/>
      <w:r w:rsidRPr="00861056">
        <w:rPr>
          <w:rFonts w:ascii="Times New Roman" w:hAnsi="Times New Roman"/>
          <w:color w:val="000000"/>
          <w:sz w:val="28"/>
          <w:szCs w:val="28"/>
        </w:rPr>
        <w:t>Ауэзова</w:t>
      </w:r>
      <w:proofErr w:type="spellEnd"/>
      <w:r w:rsidRPr="00861056">
        <w:rPr>
          <w:rFonts w:ascii="Times New Roman" w:hAnsi="Times New Roman"/>
          <w:color w:val="000000"/>
          <w:sz w:val="28"/>
          <w:szCs w:val="28"/>
        </w:rPr>
        <w:t xml:space="preserve"> 84, офис 30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61056">
        <w:rPr>
          <w:rFonts w:ascii="Times New Roman" w:hAnsi="Times New Roman"/>
          <w:color w:val="000000"/>
          <w:sz w:val="28"/>
          <w:szCs w:val="28"/>
        </w:rPr>
        <w:t>.</w:t>
      </w:r>
    </w:p>
    <w:p w:rsidR="00A83AD0" w:rsidRPr="00861056" w:rsidRDefault="00A83AD0" w:rsidP="00A83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61056">
        <w:rPr>
          <w:rFonts w:ascii="Times New Roman" w:hAnsi="Times New Roman"/>
          <w:color w:val="000000"/>
          <w:sz w:val="28"/>
          <w:szCs w:val="28"/>
        </w:rPr>
        <w:t xml:space="preserve">Тел.: +7 (727) 250-34-26, </w:t>
      </w:r>
      <w:proofErr w:type="gramStart"/>
      <w:r w:rsidRPr="00861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861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61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861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  <w:hyperlink r:id="rId6" w:tgtFrame="_blank" w:history="1">
        <w:r w:rsidRPr="00861056">
          <w:rPr>
            <w:rStyle w:val="af1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sanavitakz@yandex.ru</w:t>
        </w:r>
      </w:hyperlink>
    </w:p>
    <w:p w:rsidR="00047E29" w:rsidRDefault="00047E29" w:rsidP="00047E29">
      <w:pPr>
        <w:pStyle w:val="af2"/>
        <w:spacing w:after="0" w:line="240" w:lineRule="auto"/>
        <w:jc w:val="both"/>
        <w:rPr>
          <w:color w:val="000000"/>
          <w:sz w:val="28"/>
          <w:lang w:val="ru-RU"/>
        </w:rPr>
      </w:pPr>
    </w:p>
    <w:p w:rsidR="00A83AD0" w:rsidRDefault="00A83AD0" w:rsidP="00A83AD0">
      <w:pPr>
        <w:pStyle w:val="af2"/>
        <w:tabs>
          <w:tab w:val="clear" w:pos="4680"/>
          <w:tab w:val="clear" w:pos="9360"/>
          <w:tab w:val="left" w:pos="993"/>
        </w:tabs>
        <w:spacing w:after="0" w:line="240" w:lineRule="auto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Условные обозначения на упаковке</w:t>
      </w:r>
      <w:r w:rsidRPr="00580118">
        <w:rPr>
          <w:b/>
          <w:color w:val="000000"/>
          <w:sz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41755" cy="558165"/>
                  <wp:effectExtent l="0" t="0" r="0" b="0"/>
                  <wp:docPr id="1" name="Рисунок 1" descr="C:\Users\пользователь\Desktop\символы на упаковке\стери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символы на упаковке\стери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Радиационная</w:t>
            </w:r>
          </w:p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стерилизация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70230" cy="451485"/>
                  <wp:effectExtent l="0" t="0" r="1270" b="5715"/>
                  <wp:docPr id="2" name="Рисунок 2" descr="C:\Users\пользователь\Desktop\символы на упаковк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пользователь\Desktop\символы на упаковк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proofErr w:type="spellStart"/>
            <w:r w:rsidRPr="00A83AD0">
              <w:rPr>
                <w:sz w:val="24"/>
                <w:szCs w:val="28"/>
                <w:lang w:val="ru-RU"/>
              </w:rPr>
              <w:t>He</w:t>
            </w:r>
            <w:proofErr w:type="spellEnd"/>
            <w:r w:rsidRPr="00A83AD0">
              <w:rPr>
                <w:sz w:val="24"/>
                <w:szCs w:val="28"/>
                <w:lang w:val="ru-RU"/>
              </w:rPr>
              <w:t xml:space="preserve"> использовать при повреждении</w:t>
            </w:r>
          </w:p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упаковки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62915" cy="462915"/>
                  <wp:effectExtent l="0" t="0" r="0" b="0"/>
                  <wp:docPr id="3" name="Рисунок 3" descr="C:\Users\пользователь\Desktop\символы на упаковк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пользователь\Desktop\символы на упаковк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proofErr w:type="spellStart"/>
            <w:r w:rsidRPr="00A83AD0">
              <w:rPr>
                <w:sz w:val="24"/>
                <w:szCs w:val="28"/>
                <w:lang w:val="ru-RU"/>
              </w:rPr>
              <w:t>He</w:t>
            </w:r>
            <w:proofErr w:type="spellEnd"/>
            <w:r w:rsidRPr="00A83AD0">
              <w:rPr>
                <w:sz w:val="24"/>
                <w:szCs w:val="28"/>
                <w:lang w:val="ru-RU"/>
              </w:rPr>
              <w:t xml:space="preserve"> стерилизовать повторно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39420" cy="487045"/>
                  <wp:effectExtent l="0" t="0" r="0" b="8255"/>
                  <wp:docPr id="4" name="Рисунок 4" descr="C:\Users\пользователь\Desktop\символы на упаковк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пользователь\Desktop\символы на упаковк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Запрет на повторное применение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2749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98475" cy="570230"/>
                  <wp:effectExtent l="0" t="0" r="0" b="1270"/>
                  <wp:docPr id="5" name="Рисунок 5" descr="C:\Users\пользователь\Desktop\символы на упаковк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пользователь\Desktop\символы на упаковк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Беречь от влаги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34670" cy="534670"/>
                  <wp:effectExtent l="0" t="0" r="0" b="0"/>
                  <wp:docPr id="6" name="Рисунок 6" descr="C:\Users\пользователь\Desktop\символы на упаковке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пользователь\Desktop\символы на упаковке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Не допускать воздействия солнечного света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76910" cy="605790"/>
                  <wp:effectExtent l="0" t="0" r="8890" b="3810"/>
                  <wp:docPr id="7" name="Рисунок 7" descr="C:\Users\пользователь\Desktop\символы на упаковк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пользователь\Desktop\символы на упаковке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Осторожно! Обратитесь к</w:t>
            </w:r>
          </w:p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инструкции по применению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76910" cy="534670"/>
                  <wp:effectExtent l="0" t="0" r="8890" b="0"/>
                  <wp:docPr id="8" name="Рисунок 8" descr="C:\Users\пользователь\Desktop\символы на упаковке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пользователь\Desktop\символы на упаковке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 xml:space="preserve">Обратитесь к инструкции </w:t>
            </w:r>
            <w:proofErr w:type="gramStart"/>
            <w:r w:rsidRPr="00A83AD0">
              <w:rPr>
                <w:sz w:val="24"/>
                <w:szCs w:val="28"/>
                <w:lang w:val="ru-RU"/>
              </w:rPr>
              <w:t>по</w:t>
            </w:r>
            <w:proofErr w:type="gramEnd"/>
          </w:p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применению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546100" cy="534670"/>
                  <wp:effectExtent l="0" t="0" r="6350" b="0"/>
                  <wp:docPr id="9" name="Рисунок 9" descr="C:\Users\пользователь\Desktop\символы на упаковк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пользователь\Desktop\символы на упаковке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Соответствует ГОСТ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70230" cy="581660"/>
                  <wp:effectExtent l="0" t="0" r="1270" b="8890"/>
                  <wp:docPr id="10" name="Рисунок 12" descr="C:\Users\пользователь\Desktop\символы на упаковке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символы на упаковке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 xml:space="preserve">Производитель 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46100" cy="487045"/>
                  <wp:effectExtent l="0" t="0" r="6350" b="8255"/>
                  <wp:docPr id="11" name="Рисунок 19" descr="C:\Users\пользователь\Desktop\символы на упаковке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пользователь\Desktop\символы на упаковке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Дата изготовления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51485" cy="629285"/>
                  <wp:effectExtent l="0" t="0" r="5715" b="0"/>
                  <wp:docPr id="12" name="Рисунок 11" descr="C:\Users\пользователь\Desktop\символы на упаковке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пользователь\Desktop\символы на упаковке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Использовать до …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76910" cy="474980"/>
                  <wp:effectExtent l="0" t="0" r="8890" b="1270"/>
                  <wp:docPr id="13" name="Рисунок 16" descr="C:\Users\пользователь\Desktop\символы на упаковке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пользователь\Desktop\символы на упаковке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Код партии</w:t>
            </w:r>
          </w:p>
        </w:tc>
      </w:tr>
      <w:tr w:rsidR="00A83AD0" w:rsidTr="00A83AD0">
        <w:tc>
          <w:tcPr>
            <w:tcW w:w="4734" w:type="dxa"/>
            <w:shd w:val="clear" w:color="auto" w:fill="auto"/>
          </w:tcPr>
          <w:p w:rsidR="00A83AD0" w:rsidRPr="00A83AD0" w:rsidRDefault="00E81932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1660" cy="462915"/>
                  <wp:effectExtent l="0" t="0" r="8890" b="0"/>
                  <wp:docPr id="14" name="Рисунок 18" descr="C:\Users\пользователь\Desktop\символы на упаковке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пользователь\Desktop\символы на упаковке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shd w:val="clear" w:color="auto" w:fill="auto"/>
          </w:tcPr>
          <w:p w:rsidR="00A83AD0" w:rsidRPr="00A83AD0" w:rsidRDefault="00A83AD0" w:rsidP="00A83AD0">
            <w:pPr>
              <w:pStyle w:val="af2"/>
              <w:tabs>
                <w:tab w:val="clear" w:pos="4680"/>
                <w:tab w:val="clear" w:pos="9360"/>
                <w:tab w:val="left" w:pos="993"/>
              </w:tabs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A83AD0">
              <w:rPr>
                <w:sz w:val="24"/>
                <w:szCs w:val="28"/>
                <w:lang w:val="ru-RU"/>
              </w:rPr>
              <w:t>Номер по каталогу</w:t>
            </w:r>
          </w:p>
        </w:tc>
      </w:tr>
    </w:tbl>
    <w:p w:rsidR="005E5B5D" w:rsidRPr="00861056" w:rsidRDefault="005E5B5D" w:rsidP="00A83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E5B5D" w:rsidRPr="00861056" w:rsidSect="007131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669"/>
    <w:multiLevelType w:val="hybridMultilevel"/>
    <w:tmpl w:val="861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7C0"/>
    <w:multiLevelType w:val="hybridMultilevel"/>
    <w:tmpl w:val="0982224C"/>
    <w:lvl w:ilvl="0" w:tplc="9736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0EC"/>
    <w:multiLevelType w:val="hybridMultilevel"/>
    <w:tmpl w:val="15F4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0AF"/>
    <w:multiLevelType w:val="hybridMultilevel"/>
    <w:tmpl w:val="25CC5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35747"/>
    <w:multiLevelType w:val="hybridMultilevel"/>
    <w:tmpl w:val="1686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55463"/>
    <w:multiLevelType w:val="hybridMultilevel"/>
    <w:tmpl w:val="57E8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59BC"/>
    <w:multiLevelType w:val="hybridMultilevel"/>
    <w:tmpl w:val="3AC0296A"/>
    <w:lvl w:ilvl="0" w:tplc="E272A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D67DD"/>
    <w:multiLevelType w:val="hybridMultilevel"/>
    <w:tmpl w:val="7FC07BB6"/>
    <w:lvl w:ilvl="0" w:tplc="88908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1D5D"/>
    <w:multiLevelType w:val="hybridMultilevel"/>
    <w:tmpl w:val="9A565CA8"/>
    <w:lvl w:ilvl="0" w:tplc="6C36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E3021"/>
    <w:multiLevelType w:val="hybridMultilevel"/>
    <w:tmpl w:val="51DA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A"/>
    <w:rsid w:val="00002F83"/>
    <w:rsid w:val="000168B4"/>
    <w:rsid w:val="000217E3"/>
    <w:rsid w:val="000265F8"/>
    <w:rsid w:val="000269E3"/>
    <w:rsid w:val="00030971"/>
    <w:rsid w:val="00032B23"/>
    <w:rsid w:val="000365D6"/>
    <w:rsid w:val="00036EBE"/>
    <w:rsid w:val="000411FD"/>
    <w:rsid w:val="00047E29"/>
    <w:rsid w:val="0005307E"/>
    <w:rsid w:val="00055416"/>
    <w:rsid w:val="000566E1"/>
    <w:rsid w:val="0005744E"/>
    <w:rsid w:val="000735FD"/>
    <w:rsid w:val="00073F0F"/>
    <w:rsid w:val="000847CD"/>
    <w:rsid w:val="00086100"/>
    <w:rsid w:val="00090E47"/>
    <w:rsid w:val="000A1EB1"/>
    <w:rsid w:val="000A4690"/>
    <w:rsid w:val="000A7FA1"/>
    <w:rsid w:val="000B003D"/>
    <w:rsid w:val="000B12D6"/>
    <w:rsid w:val="000B3581"/>
    <w:rsid w:val="000B58D6"/>
    <w:rsid w:val="000B7B1D"/>
    <w:rsid w:val="000D63ED"/>
    <w:rsid w:val="000E4729"/>
    <w:rsid w:val="000E68B4"/>
    <w:rsid w:val="00106318"/>
    <w:rsid w:val="00116DFC"/>
    <w:rsid w:val="00123C7C"/>
    <w:rsid w:val="00133381"/>
    <w:rsid w:val="00136F29"/>
    <w:rsid w:val="001413E2"/>
    <w:rsid w:val="0015142D"/>
    <w:rsid w:val="00160AFD"/>
    <w:rsid w:val="001655AE"/>
    <w:rsid w:val="0017332A"/>
    <w:rsid w:val="001865EA"/>
    <w:rsid w:val="001915D2"/>
    <w:rsid w:val="001931CA"/>
    <w:rsid w:val="001941B3"/>
    <w:rsid w:val="00197351"/>
    <w:rsid w:val="001A0E87"/>
    <w:rsid w:val="001A2484"/>
    <w:rsid w:val="001A5056"/>
    <w:rsid w:val="001B3BFA"/>
    <w:rsid w:val="001B65E6"/>
    <w:rsid w:val="001C1DD3"/>
    <w:rsid w:val="001C468A"/>
    <w:rsid w:val="001D2443"/>
    <w:rsid w:val="001D3155"/>
    <w:rsid w:val="001D4834"/>
    <w:rsid w:val="001D56D1"/>
    <w:rsid w:val="001E113A"/>
    <w:rsid w:val="002006ED"/>
    <w:rsid w:val="00202896"/>
    <w:rsid w:val="00213C6D"/>
    <w:rsid w:val="00232C6E"/>
    <w:rsid w:val="00240DE5"/>
    <w:rsid w:val="00250A8D"/>
    <w:rsid w:val="00251F96"/>
    <w:rsid w:val="00254F65"/>
    <w:rsid w:val="0025612E"/>
    <w:rsid w:val="002623E9"/>
    <w:rsid w:val="00272C95"/>
    <w:rsid w:val="00273AD5"/>
    <w:rsid w:val="002741DE"/>
    <w:rsid w:val="00275BDC"/>
    <w:rsid w:val="002776C4"/>
    <w:rsid w:val="00283D7B"/>
    <w:rsid w:val="00287F55"/>
    <w:rsid w:val="00293606"/>
    <w:rsid w:val="0029693B"/>
    <w:rsid w:val="002A768D"/>
    <w:rsid w:val="002B10FD"/>
    <w:rsid w:val="002B4F91"/>
    <w:rsid w:val="002B75BE"/>
    <w:rsid w:val="002C226B"/>
    <w:rsid w:val="002C44FC"/>
    <w:rsid w:val="002C7244"/>
    <w:rsid w:val="002E2B95"/>
    <w:rsid w:val="002E7D2B"/>
    <w:rsid w:val="002F019B"/>
    <w:rsid w:val="002F363E"/>
    <w:rsid w:val="002F65B9"/>
    <w:rsid w:val="00303B41"/>
    <w:rsid w:val="00311DD6"/>
    <w:rsid w:val="00322599"/>
    <w:rsid w:val="003238B6"/>
    <w:rsid w:val="003248A7"/>
    <w:rsid w:val="00332A85"/>
    <w:rsid w:val="0033794D"/>
    <w:rsid w:val="00353ACC"/>
    <w:rsid w:val="00366564"/>
    <w:rsid w:val="003806ED"/>
    <w:rsid w:val="00393003"/>
    <w:rsid w:val="003A0BDC"/>
    <w:rsid w:val="003B289E"/>
    <w:rsid w:val="003C1BCE"/>
    <w:rsid w:val="003C6474"/>
    <w:rsid w:val="003C6ACF"/>
    <w:rsid w:val="003D075D"/>
    <w:rsid w:val="003D3C45"/>
    <w:rsid w:val="003E593D"/>
    <w:rsid w:val="003E5AA3"/>
    <w:rsid w:val="00400D63"/>
    <w:rsid w:val="00400F85"/>
    <w:rsid w:val="004148E1"/>
    <w:rsid w:val="00415067"/>
    <w:rsid w:val="0042176B"/>
    <w:rsid w:val="004220C0"/>
    <w:rsid w:val="00427D37"/>
    <w:rsid w:val="00430AA0"/>
    <w:rsid w:val="00440D82"/>
    <w:rsid w:val="00442A3E"/>
    <w:rsid w:val="00450720"/>
    <w:rsid w:val="00451CCC"/>
    <w:rsid w:val="0045426D"/>
    <w:rsid w:val="0046059B"/>
    <w:rsid w:val="00461239"/>
    <w:rsid w:val="00467C74"/>
    <w:rsid w:val="00467EFE"/>
    <w:rsid w:val="004711DA"/>
    <w:rsid w:val="004744B9"/>
    <w:rsid w:val="00483BB7"/>
    <w:rsid w:val="00486794"/>
    <w:rsid w:val="004B5000"/>
    <w:rsid w:val="004B7280"/>
    <w:rsid w:val="004E0E7C"/>
    <w:rsid w:val="004F0478"/>
    <w:rsid w:val="004F3BC7"/>
    <w:rsid w:val="004F4B3D"/>
    <w:rsid w:val="00506B02"/>
    <w:rsid w:val="00511411"/>
    <w:rsid w:val="00534696"/>
    <w:rsid w:val="00540C28"/>
    <w:rsid w:val="00571177"/>
    <w:rsid w:val="00582E9F"/>
    <w:rsid w:val="0059782C"/>
    <w:rsid w:val="005B292B"/>
    <w:rsid w:val="005B4CF3"/>
    <w:rsid w:val="005C662B"/>
    <w:rsid w:val="005D2164"/>
    <w:rsid w:val="005D3214"/>
    <w:rsid w:val="005D4ABC"/>
    <w:rsid w:val="005E1824"/>
    <w:rsid w:val="005E341F"/>
    <w:rsid w:val="005E36C8"/>
    <w:rsid w:val="005E5B5D"/>
    <w:rsid w:val="005F5EE3"/>
    <w:rsid w:val="00614239"/>
    <w:rsid w:val="00614BB4"/>
    <w:rsid w:val="00622E89"/>
    <w:rsid w:val="00627951"/>
    <w:rsid w:val="00664FCB"/>
    <w:rsid w:val="00671B82"/>
    <w:rsid w:val="006849AD"/>
    <w:rsid w:val="00692B06"/>
    <w:rsid w:val="006935D7"/>
    <w:rsid w:val="006961E8"/>
    <w:rsid w:val="00697F97"/>
    <w:rsid w:val="006B09BF"/>
    <w:rsid w:val="006B107C"/>
    <w:rsid w:val="006B23DD"/>
    <w:rsid w:val="006D1A77"/>
    <w:rsid w:val="006D500A"/>
    <w:rsid w:val="006D5351"/>
    <w:rsid w:val="006D6D75"/>
    <w:rsid w:val="006F5988"/>
    <w:rsid w:val="007011FC"/>
    <w:rsid w:val="007040D4"/>
    <w:rsid w:val="00712F42"/>
    <w:rsid w:val="0071318E"/>
    <w:rsid w:val="00723D4C"/>
    <w:rsid w:val="00726341"/>
    <w:rsid w:val="00735E85"/>
    <w:rsid w:val="00736171"/>
    <w:rsid w:val="0073695A"/>
    <w:rsid w:val="0074285C"/>
    <w:rsid w:val="00746BA2"/>
    <w:rsid w:val="00752E3A"/>
    <w:rsid w:val="0076244B"/>
    <w:rsid w:val="00762C8A"/>
    <w:rsid w:val="0076369F"/>
    <w:rsid w:val="00764D67"/>
    <w:rsid w:val="007660B9"/>
    <w:rsid w:val="00767C5D"/>
    <w:rsid w:val="00774E6E"/>
    <w:rsid w:val="00775D01"/>
    <w:rsid w:val="00785196"/>
    <w:rsid w:val="00785A78"/>
    <w:rsid w:val="00786D8C"/>
    <w:rsid w:val="00791138"/>
    <w:rsid w:val="00795660"/>
    <w:rsid w:val="007A36B7"/>
    <w:rsid w:val="007B0ED4"/>
    <w:rsid w:val="007B36DB"/>
    <w:rsid w:val="007C1D82"/>
    <w:rsid w:val="007C23B8"/>
    <w:rsid w:val="007C6455"/>
    <w:rsid w:val="007C7EC8"/>
    <w:rsid w:val="007E1CD0"/>
    <w:rsid w:val="007E23B9"/>
    <w:rsid w:val="007E42A5"/>
    <w:rsid w:val="007E4FD6"/>
    <w:rsid w:val="007F29B3"/>
    <w:rsid w:val="008031AC"/>
    <w:rsid w:val="00824644"/>
    <w:rsid w:val="00826393"/>
    <w:rsid w:val="00830E22"/>
    <w:rsid w:val="00830F64"/>
    <w:rsid w:val="00836225"/>
    <w:rsid w:val="00837BAA"/>
    <w:rsid w:val="008417AA"/>
    <w:rsid w:val="008514E0"/>
    <w:rsid w:val="00861056"/>
    <w:rsid w:val="00873431"/>
    <w:rsid w:val="00892A35"/>
    <w:rsid w:val="008963F6"/>
    <w:rsid w:val="00896B28"/>
    <w:rsid w:val="008A2C7A"/>
    <w:rsid w:val="008B1CCD"/>
    <w:rsid w:val="008B4A81"/>
    <w:rsid w:val="008C35FA"/>
    <w:rsid w:val="008C5C75"/>
    <w:rsid w:val="008C678A"/>
    <w:rsid w:val="008E0693"/>
    <w:rsid w:val="008E2E74"/>
    <w:rsid w:val="008F1586"/>
    <w:rsid w:val="008F2455"/>
    <w:rsid w:val="008F2DBB"/>
    <w:rsid w:val="008F7568"/>
    <w:rsid w:val="0090047E"/>
    <w:rsid w:val="00901465"/>
    <w:rsid w:val="00901C8C"/>
    <w:rsid w:val="0090584D"/>
    <w:rsid w:val="009110DC"/>
    <w:rsid w:val="009120E1"/>
    <w:rsid w:val="0091235B"/>
    <w:rsid w:val="00923AFA"/>
    <w:rsid w:val="00923C02"/>
    <w:rsid w:val="00932DF0"/>
    <w:rsid w:val="00934E5A"/>
    <w:rsid w:val="00940921"/>
    <w:rsid w:val="00966B39"/>
    <w:rsid w:val="00971328"/>
    <w:rsid w:val="00981283"/>
    <w:rsid w:val="009840DA"/>
    <w:rsid w:val="009862C8"/>
    <w:rsid w:val="00995648"/>
    <w:rsid w:val="00997525"/>
    <w:rsid w:val="009C0A1B"/>
    <w:rsid w:val="009C6261"/>
    <w:rsid w:val="009D0734"/>
    <w:rsid w:val="009D3356"/>
    <w:rsid w:val="009D404F"/>
    <w:rsid w:val="009E6B5B"/>
    <w:rsid w:val="00A0090E"/>
    <w:rsid w:val="00A136A0"/>
    <w:rsid w:val="00A17D17"/>
    <w:rsid w:val="00A25061"/>
    <w:rsid w:val="00A31E22"/>
    <w:rsid w:val="00A32968"/>
    <w:rsid w:val="00A3319D"/>
    <w:rsid w:val="00A36113"/>
    <w:rsid w:val="00A403BE"/>
    <w:rsid w:val="00A40804"/>
    <w:rsid w:val="00A45250"/>
    <w:rsid w:val="00A4653E"/>
    <w:rsid w:val="00A47913"/>
    <w:rsid w:val="00A533F1"/>
    <w:rsid w:val="00A53C21"/>
    <w:rsid w:val="00A60C72"/>
    <w:rsid w:val="00A72AAF"/>
    <w:rsid w:val="00A7621F"/>
    <w:rsid w:val="00A83AD0"/>
    <w:rsid w:val="00AA26A8"/>
    <w:rsid w:val="00AA516D"/>
    <w:rsid w:val="00AB6794"/>
    <w:rsid w:val="00AB7D44"/>
    <w:rsid w:val="00AC368A"/>
    <w:rsid w:val="00AC3842"/>
    <w:rsid w:val="00AD148E"/>
    <w:rsid w:val="00AD616D"/>
    <w:rsid w:val="00B0310B"/>
    <w:rsid w:val="00B035EF"/>
    <w:rsid w:val="00B06124"/>
    <w:rsid w:val="00B116EB"/>
    <w:rsid w:val="00B140AC"/>
    <w:rsid w:val="00B17545"/>
    <w:rsid w:val="00B2153C"/>
    <w:rsid w:val="00B26F6F"/>
    <w:rsid w:val="00B362FF"/>
    <w:rsid w:val="00B450B5"/>
    <w:rsid w:val="00B6435B"/>
    <w:rsid w:val="00B740F7"/>
    <w:rsid w:val="00B82046"/>
    <w:rsid w:val="00B82C03"/>
    <w:rsid w:val="00B84005"/>
    <w:rsid w:val="00B84514"/>
    <w:rsid w:val="00BA1B35"/>
    <w:rsid w:val="00BA738F"/>
    <w:rsid w:val="00BB229E"/>
    <w:rsid w:val="00BB794F"/>
    <w:rsid w:val="00BC23C7"/>
    <w:rsid w:val="00BC2995"/>
    <w:rsid w:val="00BC32C1"/>
    <w:rsid w:val="00BC655B"/>
    <w:rsid w:val="00BE6151"/>
    <w:rsid w:val="00BF16E5"/>
    <w:rsid w:val="00C127F0"/>
    <w:rsid w:val="00C21F7E"/>
    <w:rsid w:val="00C27627"/>
    <w:rsid w:val="00C27B41"/>
    <w:rsid w:val="00C34E86"/>
    <w:rsid w:val="00C41A39"/>
    <w:rsid w:val="00C55689"/>
    <w:rsid w:val="00C73781"/>
    <w:rsid w:val="00C74D92"/>
    <w:rsid w:val="00C87450"/>
    <w:rsid w:val="00C90CF5"/>
    <w:rsid w:val="00C94EE0"/>
    <w:rsid w:val="00CB7163"/>
    <w:rsid w:val="00CD40E5"/>
    <w:rsid w:val="00CD467D"/>
    <w:rsid w:val="00CE34DC"/>
    <w:rsid w:val="00CE3C86"/>
    <w:rsid w:val="00CE3FD3"/>
    <w:rsid w:val="00CE4820"/>
    <w:rsid w:val="00CE4C07"/>
    <w:rsid w:val="00CF5DEE"/>
    <w:rsid w:val="00CF7879"/>
    <w:rsid w:val="00D22D4F"/>
    <w:rsid w:val="00D2522C"/>
    <w:rsid w:val="00D318DC"/>
    <w:rsid w:val="00D31E96"/>
    <w:rsid w:val="00D36F73"/>
    <w:rsid w:val="00D376AC"/>
    <w:rsid w:val="00D51CF5"/>
    <w:rsid w:val="00D55BC5"/>
    <w:rsid w:val="00D56A81"/>
    <w:rsid w:val="00D5771C"/>
    <w:rsid w:val="00D60B5F"/>
    <w:rsid w:val="00D64B2D"/>
    <w:rsid w:val="00D732F9"/>
    <w:rsid w:val="00D77E21"/>
    <w:rsid w:val="00D8175A"/>
    <w:rsid w:val="00D84294"/>
    <w:rsid w:val="00D9021D"/>
    <w:rsid w:val="00D948E2"/>
    <w:rsid w:val="00DA0A48"/>
    <w:rsid w:val="00DA3B77"/>
    <w:rsid w:val="00DA60A8"/>
    <w:rsid w:val="00DA6D9A"/>
    <w:rsid w:val="00DB3F52"/>
    <w:rsid w:val="00DB64A4"/>
    <w:rsid w:val="00DC0ECE"/>
    <w:rsid w:val="00DC10A4"/>
    <w:rsid w:val="00DC1CE5"/>
    <w:rsid w:val="00DD5119"/>
    <w:rsid w:val="00DE266D"/>
    <w:rsid w:val="00DE6DF0"/>
    <w:rsid w:val="00E0227C"/>
    <w:rsid w:val="00E025B0"/>
    <w:rsid w:val="00E02DE1"/>
    <w:rsid w:val="00E03DE1"/>
    <w:rsid w:val="00E04F8A"/>
    <w:rsid w:val="00E11CED"/>
    <w:rsid w:val="00E15035"/>
    <w:rsid w:val="00E23449"/>
    <w:rsid w:val="00E44C95"/>
    <w:rsid w:val="00E47CE6"/>
    <w:rsid w:val="00E66D20"/>
    <w:rsid w:val="00E80524"/>
    <w:rsid w:val="00E81932"/>
    <w:rsid w:val="00E93A5C"/>
    <w:rsid w:val="00E93B25"/>
    <w:rsid w:val="00EB22FE"/>
    <w:rsid w:val="00EC7098"/>
    <w:rsid w:val="00ED5FAF"/>
    <w:rsid w:val="00F0678C"/>
    <w:rsid w:val="00F17877"/>
    <w:rsid w:val="00F21BC2"/>
    <w:rsid w:val="00F36274"/>
    <w:rsid w:val="00F40131"/>
    <w:rsid w:val="00F566AB"/>
    <w:rsid w:val="00F602CD"/>
    <w:rsid w:val="00F7418B"/>
    <w:rsid w:val="00F878F8"/>
    <w:rsid w:val="00F93464"/>
    <w:rsid w:val="00F95C58"/>
    <w:rsid w:val="00FA14CF"/>
    <w:rsid w:val="00FA56A1"/>
    <w:rsid w:val="00FA6E83"/>
    <w:rsid w:val="00FB1332"/>
    <w:rsid w:val="00FB5F78"/>
    <w:rsid w:val="00FC0C70"/>
    <w:rsid w:val="00FC3ADA"/>
    <w:rsid w:val="00FC47A0"/>
    <w:rsid w:val="00FD6785"/>
    <w:rsid w:val="00FD6B7B"/>
    <w:rsid w:val="00FE3615"/>
    <w:rsid w:val="00FF301A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3B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299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BC2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82C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D577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FA14C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5BC5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55BC5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178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7877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17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787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7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0ECE"/>
  </w:style>
  <w:style w:type="character" w:styleId="ad">
    <w:name w:val="Strong"/>
    <w:qFormat/>
    <w:rsid w:val="00CE3C86"/>
    <w:rPr>
      <w:b/>
      <w:bCs/>
    </w:rPr>
  </w:style>
  <w:style w:type="paragraph" w:styleId="ae">
    <w:name w:val="List Paragraph"/>
    <w:basedOn w:val="a"/>
    <w:uiPriority w:val="34"/>
    <w:qFormat/>
    <w:rsid w:val="00D73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1C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rsid w:val="00C94E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03B41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table" w:styleId="af0">
    <w:name w:val="Table Grid"/>
    <w:basedOn w:val="a1"/>
    <w:uiPriority w:val="39"/>
    <w:rsid w:val="00A7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61056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861056"/>
    <w:pPr>
      <w:widowControl w:val="0"/>
      <w:autoSpaceDE w:val="0"/>
      <w:autoSpaceDN w:val="0"/>
      <w:adjustRightInd w:val="0"/>
      <w:spacing w:line="414" w:lineRule="exact"/>
    </w:pPr>
  </w:style>
  <w:style w:type="character" w:customStyle="1" w:styleId="FontStyle26">
    <w:name w:val="Font Style26"/>
    <w:rsid w:val="0086105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Hyperlink"/>
    <w:uiPriority w:val="99"/>
    <w:semiHidden/>
    <w:unhideWhenUsed/>
    <w:rsid w:val="00861056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047E29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f3">
    <w:name w:val="Верхний колонтитул Знак"/>
    <w:link w:val="af2"/>
    <w:uiPriority w:val="99"/>
    <w:rsid w:val="00047E29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3B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299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BC2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82C0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D577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FA14C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5BC5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55BC5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178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7877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17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787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7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0ECE"/>
  </w:style>
  <w:style w:type="character" w:styleId="ad">
    <w:name w:val="Strong"/>
    <w:qFormat/>
    <w:rsid w:val="00CE3C86"/>
    <w:rPr>
      <w:b/>
      <w:bCs/>
    </w:rPr>
  </w:style>
  <w:style w:type="paragraph" w:styleId="ae">
    <w:name w:val="List Paragraph"/>
    <w:basedOn w:val="a"/>
    <w:uiPriority w:val="34"/>
    <w:qFormat/>
    <w:rsid w:val="00D73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1CD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rsid w:val="00C94E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03B41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table" w:styleId="af0">
    <w:name w:val="Table Grid"/>
    <w:basedOn w:val="a1"/>
    <w:uiPriority w:val="39"/>
    <w:rsid w:val="00A7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61056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861056"/>
    <w:pPr>
      <w:widowControl w:val="0"/>
      <w:autoSpaceDE w:val="0"/>
      <w:autoSpaceDN w:val="0"/>
      <w:adjustRightInd w:val="0"/>
      <w:spacing w:line="414" w:lineRule="exact"/>
    </w:pPr>
  </w:style>
  <w:style w:type="character" w:customStyle="1" w:styleId="FontStyle26">
    <w:name w:val="Font Style26"/>
    <w:rsid w:val="00861056"/>
    <w:rPr>
      <w:rFonts w:ascii="Times New Roman" w:hAnsi="Times New Roman" w:cs="Times New Roman"/>
      <w:color w:val="000000"/>
      <w:sz w:val="22"/>
      <w:szCs w:val="22"/>
    </w:rPr>
  </w:style>
  <w:style w:type="character" w:styleId="af1">
    <w:name w:val="Hyperlink"/>
    <w:uiPriority w:val="99"/>
    <w:semiHidden/>
    <w:unhideWhenUsed/>
    <w:rsid w:val="00861056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047E29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f3">
    <w:name w:val="Верхний колонтитул Знак"/>
    <w:link w:val="af2"/>
    <w:uiPriority w:val="99"/>
    <w:rsid w:val="00047E29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anavitakz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https://e.mail.ru/compose/?mailto=mailto%3asanavitakz@yandex.ru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Абдиманова Бахыт Жексеновна</dc:creator>
  <cp:lastModifiedBy>Есболатова Динара Ерлановна</cp:lastModifiedBy>
  <cp:revision>2</cp:revision>
  <cp:lastPrinted>2016-12-23T07:01:00Z</cp:lastPrinted>
  <dcterms:created xsi:type="dcterms:W3CDTF">2020-02-07T11:16:00Z</dcterms:created>
  <dcterms:modified xsi:type="dcterms:W3CDTF">2020-02-07T11:16:00Z</dcterms:modified>
</cp:coreProperties>
</file>